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B67D" w14:textId="640BC226" w:rsidR="00FC6C02" w:rsidRPr="0087615C" w:rsidRDefault="00FC6C02" w:rsidP="00ED6588">
      <w:pPr>
        <w:jc w:val="left"/>
        <w:rPr>
          <w:rFonts w:cs="Calibri"/>
          <w:sz w:val="32"/>
          <w:szCs w:val="32"/>
        </w:rPr>
      </w:pPr>
      <w:r w:rsidRPr="0087615C">
        <w:rPr>
          <w:rFonts w:cs="Calibri"/>
          <w:sz w:val="32"/>
          <w:szCs w:val="32"/>
        </w:rPr>
        <w:t>Job Description</w:t>
      </w:r>
      <w:r w:rsidR="00975258" w:rsidRPr="0087615C">
        <w:rPr>
          <w:rFonts w:cs="Calibri"/>
          <w:sz w:val="32"/>
          <w:szCs w:val="32"/>
        </w:rPr>
        <w:t xml:space="preserve"> </w:t>
      </w:r>
    </w:p>
    <w:p w14:paraId="2AEDDD22" w14:textId="77777777" w:rsidR="004A5D38" w:rsidRPr="00F74299" w:rsidRDefault="004A5D38" w:rsidP="00ED6588">
      <w:pPr>
        <w:jc w:val="left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940"/>
      </w:tblGrid>
      <w:tr w:rsidR="00E82499" w:rsidRPr="00AD33F4" w14:paraId="7BB7A5F4" w14:textId="77777777" w:rsidTr="00E82499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FD304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DCF392A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b/>
                <w:sz w:val="24"/>
                <w:szCs w:val="24"/>
              </w:rPr>
              <w:t>Employer:</w:t>
            </w:r>
          </w:p>
          <w:p w14:paraId="01D0CBA4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D81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6656A9C" w14:textId="4CD358CB" w:rsidR="00E82499" w:rsidRPr="0087615C" w:rsidRDefault="002E4FE3" w:rsidP="00E82499">
            <w:pPr>
              <w:pStyle w:val="Header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Active Black Country Limited </w:t>
            </w:r>
          </w:p>
        </w:tc>
      </w:tr>
      <w:tr w:rsidR="00E82499" w:rsidRPr="00AD33F4" w14:paraId="2D3BA9CA" w14:textId="77777777" w:rsidTr="00E82499">
        <w:tc>
          <w:tcPr>
            <w:tcW w:w="2076" w:type="dxa"/>
            <w:shd w:val="clear" w:color="auto" w:fill="D9D9D9"/>
          </w:tcPr>
          <w:p w14:paraId="4F668630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B36C5B7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</w:p>
          <w:p w14:paraId="6F4BD4FF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14:paraId="0AE5166B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BFF53B9" w14:textId="6A616156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Transport and Physical Activity </w:t>
            </w:r>
            <w:r w:rsidR="000621D0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Strategic </w:t>
            </w: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</w:p>
        </w:tc>
      </w:tr>
      <w:tr w:rsidR="00E82499" w:rsidRPr="00AD33F4" w14:paraId="017CD1A5" w14:textId="77777777" w:rsidTr="00E82499">
        <w:tc>
          <w:tcPr>
            <w:tcW w:w="2076" w:type="dxa"/>
            <w:shd w:val="clear" w:color="auto" w:fill="D9D9D9"/>
          </w:tcPr>
          <w:p w14:paraId="64ED6C18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358BA07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  <w:p w14:paraId="7DE541D5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14:paraId="5F1B776C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3BC14B91" w14:textId="75CDC634" w:rsidR="00E82499" w:rsidRPr="0087615C" w:rsidRDefault="000621D0" w:rsidP="00E8249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Partnerships </w:t>
            </w:r>
          </w:p>
        </w:tc>
      </w:tr>
      <w:tr w:rsidR="00E82499" w:rsidRPr="00AD33F4" w14:paraId="3CD1786C" w14:textId="77777777" w:rsidTr="00E82499">
        <w:tc>
          <w:tcPr>
            <w:tcW w:w="2076" w:type="dxa"/>
            <w:shd w:val="clear" w:color="auto" w:fill="D9D9D9"/>
          </w:tcPr>
          <w:p w14:paraId="2C8363DC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79ABC40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b/>
                <w:sz w:val="24"/>
                <w:szCs w:val="24"/>
              </w:rPr>
              <w:t>Location:</w:t>
            </w:r>
          </w:p>
          <w:p w14:paraId="1634B39D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14:paraId="7EDB4D6C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3E361BB3" w14:textId="1C485D08" w:rsidR="00E82499" w:rsidRPr="0087615C" w:rsidRDefault="005476E5" w:rsidP="00E8249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Black Country area</w:t>
            </w:r>
          </w:p>
        </w:tc>
      </w:tr>
      <w:tr w:rsidR="00E82499" w:rsidRPr="00AD33F4" w14:paraId="7587F9D1" w14:textId="77777777" w:rsidTr="00E82499">
        <w:tc>
          <w:tcPr>
            <w:tcW w:w="2076" w:type="dxa"/>
            <w:shd w:val="clear" w:color="auto" w:fill="D9D9D9"/>
          </w:tcPr>
          <w:p w14:paraId="4B058B45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EBCAD36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b/>
                <w:sz w:val="24"/>
                <w:szCs w:val="24"/>
              </w:rPr>
              <w:t>Contract:</w:t>
            </w:r>
          </w:p>
          <w:p w14:paraId="174DAD9D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6940" w:type="dxa"/>
          </w:tcPr>
          <w:p w14:paraId="1A0A0DF8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EC6A3D6" w14:textId="48EFB68E" w:rsidR="00E82499" w:rsidRPr="0087615C" w:rsidRDefault="005476E5" w:rsidP="00E8249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2 – year fixed Term</w:t>
            </w:r>
          </w:p>
        </w:tc>
      </w:tr>
      <w:tr w:rsidR="00E82499" w:rsidRPr="00AD33F4" w14:paraId="685F6D79" w14:textId="77777777" w:rsidTr="00E82499">
        <w:tc>
          <w:tcPr>
            <w:tcW w:w="2076" w:type="dxa"/>
            <w:shd w:val="clear" w:color="auto" w:fill="D9D9D9"/>
          </w:tcPr>
          <w:p w14:paraId="7C87C627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7FC9B07D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b/>
                <w:sz w:val="24"/>
                <w:szCs w:val="24"/>
              </w:rPr>
              <w:t>Salary:</w:t>
            </w:r>
          </w:p>
          <w:p w14:paraId="7784A205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6940" w:type="dxa"/>
          </w:tcPr>
          <w:p w14:paraId="36488856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A32216" w14:textId="4DF4D6C2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25266F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45,000 per annum </w:t>
            </w:r>
          </w:p>
        </w:tc>
      </w:tr>
      <w:tr w:rsidR="00E82499" w:rsidRPr="00AD33F4" w14:paraId="4FD0AE34" w14:textId="77777777" w:rsidTr="00E82499">
        <w:tc>
          <w:tcPr>
            <w:tcW w:w="2076" w:type="dxa"/>
            <w:shd w:val="clear" w:color="auto" w:fill="D9D9D9"/>
          </w:tcPr>
          <w:p w14:paraId="2FF79FBD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9B7D4E6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b/>
                <w:sz w:val="24"/>
                <w:szCs w:val="24"/>
              </w:rPr>
              <w:t>Hours of work:</w:t>
            </w:r>
          </w:p>
          <w:p w14:paraId="2C6F6116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6940" w:type="dxa"/>
          </w:tcPr>
          <w:p w14:paraId="47EC4130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D8DB11E" w14:textId="1FD77235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37.5 hours per week with additional hours worked as necessary for the proper performance of duties</w:t>
            </w:r>
          </w:p>
        </w:tc>
      </w:tr>
      <w:tr w:rsidR="00E82499" w:rsidRPr="00AD33F4" w14:paraId="0936993C" w14:textId="77777777" w:rsidTr="00E82499">
        <w:tc>
          <w:tcPr>
            <w:tcW w:w="2076" w:type="dxa"/>
            <w:shd w:val="clear" w:color="auto" w:fill="D9D9D9"/>
          </w:tcPr>
          <w:p w14:paraId="13B7E6B9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11AF4EB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b/>
                <w:sz w:val="24"/>
                <w:szCs w:val="24"/>
              </w:rPr>
              <w:t>Reporting to:</w:t>
            </w:r>
          </w:p>
          <w:p w14:paraId="52328734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6940" w:type="dxa"/>
          </w:tcPr>
          <w:p w14:paraId="7779B9B1" w14:textId="77777777" w:rsidR="00E82499" w:rsidRPr="0087615C" w:rsidRDefault="00E82499" w:rsidP="00E8249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3D5B968" w14:textId="57A548CD" w:rsidR="00E82499" w:rsidRPr="0087615C" w:rsidRDefault="005476E5" w:rsidP="00E8249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Director of </w:t>
            </w:r>
            <w:r w:rsidR="002E4FE3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Partnerships </w:t>
            </w:r>
          </w:p>
        </w:tc>
      </w:tr>
    </w:tbl>
    <w:p w14:paraId="0EA14D18" w14:textId="77777777" w:rsidR="00DB16E7" w:rsidRPr="00AD33F4" w:rsidRDefault="00DB16E7" w:rsidP="00ED6588">
      <w:pPr>
        <w:jc w:val="left"/>
        <w:rPr>
          <w:rFonts w:ascii="Aptos" w:hAnsi="Aptos" w:cs="Arial"/>
          <w:b/>
          <w:highlight w:val="yellow"/>
          <w:u w:val="single"/>
        </w:rPr>
      </w:pPr>
    </w:p>
    <w:p w14:paraId="29DF4375" w14:textId="77777777" w:rsidR="00423EAE" w:rsidRPr="00AD33F4" w:rsidRDefault="00423EAE" w:rsidP="00ED6588">
      <w:pPr>
        <w:jc w:val="left"/>
        <w:rPr>
          <w:rFonts w:ascii="Aptos" w:hAnsi="Aptos" w:cs="Arial"/>
          <w:b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AD33F4" w14:paraId="62980BE2" w14:textId="77777777" w:rsidTr="00561BD3">
        <w:tc>
          <w:tcPr>
            <w:tcW w:w="9016" w:type="dxa"/>
            <w:shd w:val="pct15" w:color="auto" w:fill="auto"/>
          </w:tcPr>
          <w:p w14:paraId="5D175155" w14:textId="77777777" w:rsidR="00FB299E" w:rsidRPr="0087615C" w:rsidRDefault="00FB299E" w:rsidP="0031617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  <w:r w:rsidRPr="0087615C">
              <w:rPr>
                <w:rFonts w:asciiTheme="minorHAnsi" w:hAnsiTheme="minorHAnsi" w:cstheme="minorHAnsi"/>
                <w:b/>
                <w:sz w:val="24"/>
                <w:szCs w:val="24"/>
              </w:rPr>
              <w:t>Job purpose</w:t>
            </w:r>
          </w:p>
        </w:tc>
      </w:tr>
      <w:tr w:rsidR="00C8147C" w:rsidRPr="00AD33F4" w14:paraId="4CB75675" w14:textId="77777777" w:rsidTr="00561BD3">
        <w:trPr>
          <w:trHeight w:val="658"/>
        </w:trPr>
        <w:tc>
          <w:tcPr>
            <w:tcW w:w="9016" w:type="dxa"/>
            <w:tcBorders>
              <w:bottom w:val="single" w:sz="4" w:space="0" w:color="auto"/>
            </w:tcBorders>
          </w:tcPr>
          <w:p w14:paraId="3A122380" w14:textId="70043614" w:rsidR="00ED6DEF" w:rsidRPr="0087615C" w:rsidRDefault="00137538" w:rsidP="001375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34681620"/>
            <w:r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="000456B8"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purpose</w:t>
            </w:r>
            <w:r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of the Transport and Physical Activity Lead</w:t>
            </w: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 is to work in partnership with </w:t>
            </w:r>
            <w:r w:rsidR="00894B6C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394121" w:rsidRPr="0087615C">
              <w:rPr>
                <w:rFonts w:asciiTheme="minorHAnsi" w:hAnsiTheme="minorHAnsi" w:cstheme="minorHAnsi"/>
                <w:sz w:val="24"/>
                <w:szCs w:val="24"/>
              </w:rPr>
              <w:t>four Transport</w:t>
            </w:r>
            <w:r w:rsidR="001B7954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 Teams across the Black </w:t>
            </w:r>
            <w:r w:rsidR="00894B6C" w:rsidRPr="0087615C">
              <w:rPr>
                <w:rFonts w:asciiTheme="minorHAnsi" w:hAnsiTheme="minorHAnsi" w:cstheme="minorHAnsi"/>
                <w:sz w:val="24"/>
                <w:szCs w:val="24"/>
              </w:rPr>
              <w:t>Country</w:t>
            </w:r>
            <w:r w:rsidR="007B023D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 to integrate physical activity into</w:t>
            </w:r>
            <w:r w:rsidR="00216A13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 Transport planning</w:t>
            </w:r>
            <w:r w:rsidR="007B023D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 and delivery. </w:t>
            </w:r>
          </w:p>
          <w:p w14:paraId="67868F38" w14:textId="77777777" w:rsidR="00563711" w:rsidRPr="0087615C" w:rsidRDefault="00563711" w:rsidP="001375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BF6C74" w14:textId="01F95679" w:rsidR="002146EF" w:rsidRPr="0087615C" w:rsidRDefault="00563711" w:rsidP="001375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The role will focus </w:t>
            </w:r>
            <w:r w:rsidR="005A4116" w:rsidRPr="0087615C">
              <w:rPr>
                <w:rFonts w:asciiTheme="minorHAnsi" w:hAnsiTheme="minorHAnsi" w:cstheme="minorHAnsi"/>
                <w:sz w:val="24"/>
                <w:szCs w:val="24"/>
              </w:rPr>
              <w:t>on supporting the implementation of the Black Country Walking and Cycling Infrastructure Plan</w:t>
            </w:r>
            <w:r w:rsidR="006E6337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 (BC LCWIP)</w:t>
            </w:r>
            <w:r w:rsidR="002129A5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, ensuring localised improvements </w:t>
            </w:r>
            <w:r w:rsidR="00101CDC" w:rsidRPr="0087615C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02129A5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 considered </w:t>
            </w:r>
            <w:r w:rsidR="005D01CA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further to ensure connectivity between communities and the active travel infrastructure </w:t>
            </w:r>
            <w:r w:rsidR="002146EF" w:rsidRPr="0087615C">
              <w:rPr>
                <w:rFonts w:asciiTheme="minorHAnsi" w:hAnsiTheme="minorHAnsi" w:cstheme="minorHAnsi"/>
                <w:sz w:val="24"/>
                <w:szCs w:val="24"/>
              </w:rPr>
              <w:t>being delivered</w:t>
            </w:r>
            <w:r w:rsidR="00101CDC" w:rsidRPr="0087615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40B732" w14:textId="77777777" w:rsidR="002146EF" w:rsidRPr="0087615C" w:rsidRDefault="002146EF" w:rsidP="00137538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  <w:p w14:paraId="3030DF69" w14:textId="3AFA146C" w:rsidR="00100B0F" w:rsidRPr="0087615C" w:rsidRDefault="002146EF" w:rsidP="00176F52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="00137538"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he role will have responsibility for developing understanding of the</w:t>
            </w:r>
            <w:r w:rsidR="0080476F"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walking and cycling landscape </w:t>
            </w:r>
            <w:r w:rsidR="0037235D"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and community </w:t>
            </w:r>
            <w:bookmarkEnd w:id="0"/>
            <w:r w:rsidR="00F1186C"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need. </w:t>
            </w:r>
          </w:p>
          <w:p w14:paraId="008808B0" w14:textId="77777777" w:rsidR="008A02E1" w:rsidRPr="0087615C" w:rsidRDefault="008A02E1" w:rsidP="00176F52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14:paraId="4B6EC37D" w14:textId="101CE1EB" w:rsidR="00484BBB" w:rsidRPr="0087615C" w:rsidRDefault="00AF3F17" w:rsidP="00176F5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The role will</w:t>
            </w:r>
            <w:r w:rsidR="006E6337"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understand</w:t>
            </w:r>
            <w:r w:rsidR="00B61380"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how the</w:t>
            </w:r>
            <w:r w:rsidR="00BF3E13"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BC</w:t>
            </w:r>
            <w:r w:rsidR="00B61380" w:rsidRPr="0087615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484BBB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LCWIP needs to be able to capitalise on both available and emerging funding opportunities to help deliver the cycling and walking vision for the area. </w:t>
            </w: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484BBB"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he funding, however, is not only limited to the delivery of infrastructure but also to ensuring the right resources and skills are in place to support </w:t>
            </w:r>
            <w:r w:rsidR="006631A9" w:rsidRPr="0087615C">
              <w:rPr>
                <w:rFonts w:asciiTheme="minorHAnsi" w:hAnsiTheme="minorHAnsi" w:cstheme="minorHAnsi"/>
                <w:sz w:val="24"/>
                <w:szCs w:val="24"/>
              </w:rPr>
              <w:t>local activation</w:t>
            </w:r>
            <w:r w:rsidR="00747166" w:rsidRPr="0087615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1EC4CD0" w14:textId="77777777" w:rsidR="00484BBB" w:rsidRPr="0087615C" w:rsidRDefault="00484BBB" w:rsidP="00176F5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  <w:p w14:paraId="35F9D6EF" w14:textId="4A1DFD9C" w:rsidR="00AD33F4" w:rsidRPr="0087615C" w:rsidRDefault="00AD33F4" w:rsidP="007834EA">
            <w:pPr>
              <w:spacing w:after="160" w:line="259" w:lineRule="auto"/>
              <w:contextualSpacing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C8147C" w:rsidRPr="00AD33F4" w14:paraId="361AB8EC" w14:textId="77777777" w:rsidTr="00561BD3">
        <w:tc>
          <w:tcPr>
            <w:tcW w:w="9016" w:type="dxa"/>
            <w:shd w:val="pct15" w:color="auto" w:fill="auto"/>
          </w:tcPr>
          <w:p w14:paraId="307C92DB" w14:textId="77777777" w:rsidR="00FB299E" w:rsidRPr="0087615C" w:rsidRDefault="00FB299E" w:rsidP="00561BD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8761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Main duties</w:t>
            </w:r>
          </w:p>
        </w:tc>
      </w:tr>
      <w:tr w:rsidR="00C8147C" w:rsidRPr="00AD33F4" w14:paraId="709D0CBC" w14:textId="77777777" w:rsidTr="00B24451">
        <w:trPr>
          <w:trHeight w:val="58"/>
        </w:trPr>
        <w:tc>
          <w:tcPr>
            <w:tcW w:w="9016" w:type="dxa"/>
          </w:tcPr>
          <w:p w14:paraId="471961F2" w14:textId="7DFB500A" w:rsidR="006631A9" w:rsidRPr="0087615C" w:rsidRDefault="006631A9" w:rsidP="006631A9">
            <w:pPr>
              <w:pStyle w:val="ListParagraph"/>
              <w:numPr>
                <w:ilvl w:val="0"/>
                <w:numId w:val="16"/>
              </w:numPr>
              <w:spacing w:after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 the lead advocate for the integration of physical</w:t>
            </w:r>
            <w:r w:rsidR="000E1034"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activity</w:t>
            </w:r>
            <w:r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with Black Country Transport to decrease physical inactivity and support health, environmental and economic outcomes. </w:t>
            </w:r>
          </w:p>
          <w:p w14:paraId="33CF5450" w14:textId="77777777" w:rsidR="006631A9" w:rsidRPr="0087615C" w:rsidRDefault="006631A9" w:rsidP="006631A9">
            <w:pPr>
              <w:pStyle w:val="ListParagraph"/>
              <w:spacing w:after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B3C0A3" w14:textId="6A0992BB" w:rsidR="006631A9" w:rsidRPr="0087615C" w:rsidRDefault="006631A9" w:rsidP="006631A9">
            <w:pPr>
              <w:pStyle w:val="ListParagraph"/>
              <w:numPr>
                <w:ilvl w:val="0"/>
                <w:numId w:val="16"/>
              </w:numPr>
              <w:spacing w:after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Drive approaches to place-based work with local partners to support a whole system approach to integrating physical activity into transport policy &amp; services.</w:t>
            </w:r>
          </w:p>
          <w:p w14:paraId="4AF1F8AB" w14:textId="77777777" w:rsidR="006631A9" w:rsidRPr="0087615C" w:rsidRDefault="006631A9" w:rsidP="006631A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E8201" w14:textId="1D7B4442" w:rsidR="006631A9" w:rsidRPr="0087615C" w:rsidRDefault="006631A9" w:rsidP="006631A9">
            <w:pPr>
              <w:pStyle w:val="ListParagraph"/>
              <w:numPr>
                <w:ilvl w:val="0"/>
                <w:numId w:val="16"/>
              </w:numPr>
              <w:spacing w:after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Lead the development of high-quality relationships which enable a collaborative focus on local transport assets, interventions, initiatives, programmes and activities which create opportunities for people to be active and tackle physical inactivity. </w:t>
            </w:r>
          </w:p>
          <w:p w14:paraId="1E149DE3" w14:textId="77777777" w:rsidR="006631A9" w:rsidRPr="0087615C" w:rsidRDefault="006631A9" w:rsidP="006631A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05099C" w14:textId="77777777" w:rsidR="006631A9" w:rsidRPr="0087615C" w:rsidRDefault="006631A9" w:rsidP="006631A9">
            <w:pPr>
              <w:pStyle w:val="ListParagraph"/>
              <w:numPr>
                <w:ilvl w:val="0"/>
                <w:numId w:val="16"/>
              </w:numPr>
              <w:spacing w:after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Work with appointed strategic and learning leads respectively alongside other suppliers on the Sport England recognised ‘Place Based’ investment in the Black Country.  </w:t>
            </w:r>
          </w:p>
          <w:p w14:paraId="224EB35D" w14:textId="77777777" w:rsidR="006631A9" w:rsidRPr="0087615C" w:rsidRDefault="006631A9" w:rsidP="006631A9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0BE6417" w14:textId="016B2EAF" w:rsidR="006631A9" w:rsidRPr="0087615C" w:rsidRDefault="006631A9" w:rsidP="006631A9">
            <w:pPr>
              <w:pStyle w:val="ListParagraph"/>
              <w:numPr>
                <w:ilvl w:val="0"/>
                <w:numId w:val="16"/>
              </w:numPr>
              <w:spacing w:after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Work with transport leads from the four Black Country authorities to develop understanding of local people &amp; communities, the needs, opportunities, and challenges of communities to be active and how this understanding can be used to strengthen partnerships and yield influence to integrate services. </w:t>
            </w:r>
          </w:p>
          <w:p w14:paraId="4312866B" w14:textId="77777777" w:rsidR="006631A9" w:rsidRPr="0087615C" w:rsidRDefault="006631A9" w:rsidP="006631A9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8BB9C53" w14:textId="14B50C75" w:rsidR="006631A9" w:rsidRPr="0087615C" w:rsidRDefault="006631A9" w:rsidP="006631A9">
            <w:pPr>
              <w:pStyle w:val="ListParagraph"/>
              <w:numPr>
                <w:ilvl w:val="0"/>
                <w:numId w:val="16"/>
              </w:num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Coordinate the development of Local Cycling &amp; Walking Infrastructure plans (LCWIP) that support the implementation of local priorities to improve outcomes and tackle inequalities in physical activity levels. </w:t>
            </w:r>
          </w:p>
          <w:p w14:paraId="1068F3BF" w14:textId="77777777" w:rsidR="006631A9" w:rsidRPr="0087615C" w:rsidRDefault="006631A9" w:rsidP="006631A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9D3DD8" w14:textId="046E7736" w:rsidR="00975533" w:rsidRPr="0087615C" w:rsidRDefault="006631A9" w:rsidP="006631A9">
            <w:pPr>
              <w:pStyle w:val="ListParagraph"/>
              <w:numPr>
                <w:ilvl w:val="0"/>
                <w:numId w:val="16"/>
              </w:num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Establish and/or maintain effective multi-partner place networks and related forums to support c</w:t>
            </w:r>
            <w:r w:rsidR="00485545"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onnectivity</w:t>
            </w:r>
            <w:r w:rsidR="004E441E"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of assets across the Black Country</w:t>
            </w:r>
            <w:r w:rsidR="0097354F"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D6836"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landscape</w:t>
            </w:r>
            <w:r w:rsidR="00A828BA"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45092"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particularly</w:t>
            </w:r>
            <w:r w:rsidR="00A828BA"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the canal infrastructure</w:t>
            </w:r>
            <w:r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to influence co-design opportunities for walking and cycling. </w:t>
            </w:r>
          </w:p>
          <w:p w14:paraId="48F21CE2" w14:textId="77777777" w:rsidR="006631A9" w:rsidRPr="0087615C" w:rsidRDefault="006631A9" w:rsidP="006631A9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05A729E" w14:textId="77777777" w:rsidR="00975533" w:rsidRPr="0087615C" w:rsidRDefault="00975533" w:rsidP="006631A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Provide regular reports as required on the progress of the implementation of programmes, in line with established key performance indicators. </w:t>
            </w:r>
          </w:p>
          <w:p w14:paraId="2D1CD3A5" w14:textId="77777777" w:rsidR="00975533" w:rsidRPr="0087615C" w:rsidRDefault="00975533" w:rsidP="00975533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5F038FB" w14:textId="77777777" w:rsidR="00975533" w:rsidRPr="0087615C" w:rsidRDefault="00975533" w:rsidP="006631A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Working to the Monitoring Evaluation and Learning Framework to extract learnings and share good practice.</w:t>
            </w:r>
          </w:p>
          <w:p w14:paraId="07766E88" w14:textId="77777777" w:rsidR="00975533" w:rsidRPr="0087615C" w:rsidRDefault="00975533" w:rsidP="0097553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57B1CA3" w14:textId="77777777" w:rsidR="00975533" w:rsidRPr="0087615C" w:rsidRDefault="00975533" w:rsidP="006631A9">
            <w:pPr>
              <w:pStyle w:val="NoSpacing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Ensuring compliance at all times with contract management, procurement and finance procedures. </w:t>
            </w:r>
          </w:p>
          <w:p w14:paraId="3F069320" w14:textId="77777777" w:rsidR="00975533" w:rsidRPr="0087615C" w:rsidRDefault="00975533" w:rsidP="0097553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46FA67" w14:textId="77777777" w:rsidR="00975533" w:rsidRPr="0087615C" w:rsidRDefault="00975533" w:rsidP="006631A9">
            <w:pPr>
              <w:pStyle w:val="NoSpacing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To be responsible and take reasonable care for the Health, Safety and Welfare of self and other employees and the public in accordance with Health and Safety Legislation and company procedures.</w:t>
            </w:r>
          </w:p>
          <w:p w14:paraId="10014213" w14:textId="77777777" w:rsidR="00975533" w:rsidRPr="0087615C" w:rsidRDefault="00975533" w:rsidP="0097553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5081BC" w14:textId="77777777" w:rsidR="00975533" w:rsidRPr="0087615C" w:rsidRDefault="00975533" w:rsidP="006631A9">
            <w:pPr>
              <w:pStyle w:val="NoSpacing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To adhere to the Data Protection Act at all times. Confidentiality must be maintained at all times.</w:t>
            </w:r>
          </w:p>
          <w:p w14:paraId="7A8DD0ED" w14:textId="77777777" w:rsidR="00975533" w:rsidRPr="0087615C" w:rsidRDefault="00975533" w:rsidP="00975533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9506D0" w14:textId="77777777" w:rsidR="00975533" w:rsidRPr="0087615C" w:rsidRDefault="00975533" w:rsidP="006631A9">
            <w:pPr>
              <w:pStyle w:val="NoSpacing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 xml:space="preserve">To adhere to all relevant policies and procedures at all times. </w:t>
            </w:r>
          </w:p>
          <w:p w14:paraId="0AB71662" w14:textId="77777777" w:rsidR="00975533" w:rsidRPr="0087615C" w:rsidRDefault="00975533" w:rsidP="00975533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A3097" w14:textId="1B285B13" w:rsidR="00975533" w:rsidRPr="0087615C" w:rsidRDefault="00975533" w:rsidP="006631A9">
            <w:pPr>
              <w:pStyle w:val="NoSpacing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7615C">
              <w:rPr>
                <w:rFonts w:asciiTheme="minorHAnsi" w:hAnsiTheme="minorHAnsi" w:cstheme="minorHAnsi"/>
                <w:sz w:val="24"/>
                <w:szCs w:val="24"/>
              </w:rPr>
              <w:t>To undertake such other duties as may be appropriate</w:t>
            </w:r>
          </w:p>
          <w:p w14:paraId="2D45FA38" w14:textId="789AE458" w:rsidR="005032B6" w:rsidRPr="0087615C" w:rsidRDefault="005032B6" w:rsidP="00975533">
            <w:pPr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D4B15" w:rsidRPr="00AD33F4" w14:paraId="02355299" w14:textId="77777777" w:rsidTr="008D4B15">
        <w:trPr>
          <w:trHeight w:val="58"/>
        </w:trPr>
        <w:tc>
          <w:tcPr>
            <w:tcW w:w="9016" w:type="dxa"/>
            <w:shd w:val="clear" w:color="auto" w:fill="D9D9D9" w:themeFill="background1" w:themeFillShade="D9"/>
          </w:tcPr>
          <w:p w14:paraId="5A8A2EE1" w14:textId="16FB46DA" w:rsidR="008D4B15" w:rsidRPr="0087615C" w:rsidRDefault="008D4B15" w:rsidP="008D4B1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87615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Person Specification </w:t>
            </w:r>
          </w:p>
        </w:tc>
      </w:tr>
      <w:tr w:rsidR="008D4B15" w:rsidRPr="00AD33F4" w14:paraId="0624719F" w14:textId="77777777" w:rsidTr="00B24451">
        <w:trPr>
          <w:trHeight w:val="58"/>
        </w:trPr>
        <w:tc>
          <w:tcPr>
            <w:tcW w:w="9016" w:type="dxa"/>
          </w:tcPr>
          <w:p w14:paraId="17E463C6" w14:textId="77777777" w:rsidR="006C215A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2C78A4">
              <w:rPr>
                <w:rFonts w:cs="Calibri"/>
                <w:b/>
                <w:bCs/>
                <w:sz w:val="24"/>
                <w:szCs w:val="24"/>
              </w:rPr>
              <w:t>Transport</w:t>
            </w:r>
            <w:r w:rsidR="006C215A" w:rsidRPr="002C78A4"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  <w:p w14:paraId="2AF56357" w14:textId="328448AA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2C78A4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</w:p>
          <w:p w14:paraId="22F0DD72" w14:textId="460DEE14" w:rsidR="008D4B15" w:rsidRPr="002C78A4" w:rsidRDefault="008D4B15" w:rsidP="00AD33F4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>Experience of the transport sector, ideally with experience of influencing priorities and using physical activity as a tool to support wider outcomes.</w:t>
            </w:r>
          </w:p>
          <w:p w14:paraId="2BFD19C7" w14:textId="31C2A5E6" w:rsidR="000621D0" w:rsidRPr="002C78A4" w:rsidRDefault="000621D0" w:rsidP="00AD33F4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 xml:space="preserve">Contemporary knowledge of transport, health &amp; wellbeing policies &amp; strategies. </w:t>
            </w:r>
          </w:p>
          <w:p w14:paraId="0D6C13EB" w14:textId="77777777" w:rsidR="008D4B15" w:rsidRPr="002C78A4" w:rsidRDefault="008D4B15" w:rsidP="00AD33F4">
            <w:pPr>
              <w:jc w:val="left"/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</w:p>
          <w:p w14:paraId="0644C603" w14:textId="168B31EA" w:rsidR="008D4B15" w:rsidRPr="002C78A4" w:rsidRDefault="008D4B15" w:rsidP="00AD33F4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  <w:t>Can articulate, demonstrate, or evidence the valuable</w:t>
            </w:r>
            <w:r w:rsidRPr="002C78A4">
              <w:rPr>
                <w:rFonts w:cs="Calibri"/>
                <w:color w:val="222222"/>
                <w:sz w:val="24"/>
                <w:szCs w:val="24"/>
              </w:rPr>
              <w:t xml:space="preserve"> role that physical activity and sport can contribute to environmental &amp; socio-economic outcomes.</w:t>
            </w:r>
          </w:p>
          <w:p w14:paraId="176D17F1" w14:textId="77777777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  <w:p w14:paraId="4F3C2A87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b/>
                <w:bCs/>
                <w:sz w:val="24"/>
                <w:szCs w:val="24"/>
              </w:rPr>
              <w:t>Place-based work:</w:t>
            </w:r>
          </w:p>
          <w:p w14:paraId="52385CCD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574D038E" w14:textId="595B3EAB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 xml:space="preserve">Proven experience supporting specific communities or localities—particularly in roles involving community development or collaborative partnerships, ideally across the Black Country, to develop propositions that respond to strategic need. </w:t>
            </w:r>
          </w:p>
          <w:p w14:paraId="408E4BAF" w14:textId="77777777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  <w:p w14:paraId="2DFA3E09" w14:textId="77777777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2C78A4">
              <w:rPr>
                <w:rFonts w:cs="Calibri"/>
                <w:b/>
                <w:bCs/>
                <w:sz w:val="24"/>
                <w:szCs w:val="24"/>
              </w:rPr>
              <w:t>Partnership and relationship building:</w:t>
            </w:r>
          </w:p>
          <w:p w14:paraId="742AA15A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227D01D8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>Able to work as a trusted partner and build strong, effective, and valued relationships across a wide range of people and organisations.</w:t>
            </w:r>
          </w:p>
          <w:p w14:paraId="30BC7098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483848BE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>Visibly values and promotes co-design and can bring people together to jointly create innovative ideas and practice.</w:t>
            </w:r>
          </w:p>
          <w:p w14:paraId="324B6C7A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128D5ACA" w14:textId="5E9A9D8F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 xml:space="preserve">Skilled in building trust and long-term relationships across sectors—especially with local partners, </w:t>
            </w:r>
            <w:r w:rsidR="006267C3" w:rsidRPr="002C78A4">
              <w:rPr>
                <w:rFonts w:cs="Calibri"/>
                <w:sz w:val="24"/>
                <w:szCs w:val="24"/>
              </w:rPr>
              <w:t>community-based</w:t>
            </w:r>
            <w:r w:rsidRPr="002C78A4">
              <w:rPr>
                <w:rFonts w:cs="Calibri"/>
                <w:sz w:val="24"/>
                <w:szCs w:val="24"/>
              </w:rPr>
              <w:t xml:space="preserve"> organisations, local authorities and charities.</w:t>
            </w:r>
          </w:p>
          <w:p w14:paraId="53E0C263" w14:textId="77777777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  <w:p w14:paraId="708E22FC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b/>
                <w:bCs/>
                <w:sz w:val="24"/>
                <w:szCs w:val="24"/>
              </w:rPr>
              <w:t>Systems change understanding</w:t>
            </w:r>
            <w:r w:rsidRPr="002C78A4">
              <w:rPr>
                <w:rFonts w:cs="Calibri"/>
                <w:sz w:val="24"/>
                <w:szCs w:val="24"/>
              </w:rPr>
              <w:t>:</w:t>
            </w:r>
          </w:p>
          <w:p w14:paraId="17E10147" w14:textId="77777777" w:rsidR="008D4B15" w:rsidRPr="002C78A4" w:rsidRDefault="008D4B15" w:rsidP="008D4B15">
            <w:pPr>
              <w:pStyle w:val="NoSpacing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2DFAD1A4" w14:textId="77777777" w:rsidR="008D4B15" w:rsidRPr="002C78A4" w:rsidRDefault="008D4B15" w:rsidP="008D4B15">
            <w:pPr>
              <w:pStyle w:val="NoSpacing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C78A4">
              <w:rPr>
                <w:rFonts w:ascii="Calibri" w:hAnsi="Calibri" w:cs="Calibri"/>
                <w:sz w:val="24"/>
                <w:szCs w:val="24"/>
              </w:rPr>
              <w:t>Has skills, knowledge and good experience of partnership working to build strong, effective, and valued relationships, across a wide range of people and organisations to influence &amp; develop collaborative agendas.</w:t>
            </w:r>
          </w:p>
          <w:p w14:paraId="0A495A0C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br/>
              <w:t>Able to work with complexity and influence and advocate for learning beyond programme delivery.</w:t>
            </w:r>
          </w:p>
          <w:p w14:paraId="3B102D31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76A2786E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>Proven experience in using learning as a driver for change.</w:t>
            </w:r>
          </w:p>
          <w:p w14:paraId="51F306AD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4CABB081" w14:textId="77777777" w:rsidR="008A453D" w:rsidRDefault="008A453D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7353F848" w14:textId="77777777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>I</w:t>
            </w:r>
            <w:r w:rsidRPr="002C78A4">
              <w:rPr>
                <w:rFonts w:cs="Calibri"/>
                <w:b/>
                <w:bCs/>
                <w:sz w:val="24"/>
                <w:szCs w:val="24"/>
              </w:rPr>
              <w:t>mpact and learning:</w:t>
            </w:r>
          </w:p>
          <w:p w14:paraId="7768CF66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5E806CFB" w14:textId="1EF855BA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 xml:space="preserve">Skilled at applying evidence led approaches to design interventions that can support a range of </w:t>
            </w:r>
            <w:r w:rsidR="006267C3" w:rsidRPr="002C78A4">
              <w:rPr>
                <w:rFonts w:cs="Calibri"/>
                <w:sz w:val="24"/>
                <w:szCs w:val="24"/>
              </w:rPr>
              <w:t>socio-economic</w:t>
            </w:r>
            <w:r w:rsidRPr="002C78A4">
              <w:rPr>
                <w:rFonts w:cs="Calibri"/>
                <w:sz w:val="24"/>
                <w:szCs w:val="24"/>
              </w:rPr>
              <w:t xml:space="preserve"> outcomes. </w:t>
            </w:r>
          </w:p>
          <w:p w14:paraId="13949CB6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0AE975F7" w14:textId="14C39AB8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 xml:space="preserve">Strong understanding of how to track, assess, and learn from outcomes in complex, multistakeholder projects with defined </w:t>
            </w:r>
            <w:r w:rsidR="006267C3" w:rsidRPr="002C78A4">
              <w:rPr>
                <w:rFonts w:cs="Calibri"/>
                <w:sz w:val="24"/>
                <w:szCs w:val="24"/>
              </w:rPr>
              <w:t>output requirements</w:t>
            </w:r>
            <w:r w:rsidRPr="002C78A4">
              <w:rPr>
                <w:rFonts w:cs="Calibri"/>
                <w:sz w:val="24"/>
                <w:szCs w:val="24"/>
              </w:rPr>
              <w:t xml:space="preserve">. </w:t>
            </w:r>
          </w:p>
          <w:p w14:paraId="6AB35955" w14:textId="77777777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  <w:p w14:paraId="7D77009F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b/>
                <w:bCs/>
                <w:sz w:val="24"/>
                <w:szCs w:val="24"/>
              </w:rPr>
              <w:t>Equity and inclusion:</w:t>
            </w:r>
          </w:p>
          <w:p w14:paraId="595FBF6F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51227721" w14:textId="77777777" w:rsidR="007D725B" w:rsidRPr="002C78A4" w:rsidRDefault="008D4B15" w:rsidP="007D725B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>Deep commitment to inclusive practice, with experience applying in real-world settings.</w:t>
            </w:r>
          </w:p>
          <w:p w14:paraId="051FB423" w14:textId="77777777" w:rsidR="007D725B" w:rsidRPr="002C78A4" w:rsidRDefault="007D725B" w:rsidP="007D725B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21D2E9C2" w14:textId="3241106B" w:rsidR="008D4B15" w:rsidRPr="002C78A4" w:rsidRDefault="008D4B15" w:rsidP="007D725B">
            <w:pPr>
              <w:jc w:val="left"/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  <w:r w:rsidRPr="002C78A4">
              <w:rPr>
                <w:rFonts w:cs="Calibri"/>
                <w:sz w:val="24"/>
                <w:szCs w:val="24"/>
              </w:rPr>
              <w:t xml:space="preserve">Demonstrates </w:t>
            </w:r>
            <w:r w:rsidRPr="002C78A4">
              <w:rPr>
                <w:rFonts w:cs="Calibri"/>
                <w:color w:val="222222"/>
                <w:sz w:val="24"/>
                <w:szCs w:val="24"/>
              </w:rPr>
              <w:t>professional, voluntary, or lived experience of c</w:t>
            </w:r>
            <w:r w:rsidRPr="002C78A4"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  <w:t xml:space="preserve">ommunities most marginalised or under-represented in being active. Has knowledge and understanding of the </w:t>
            </w:r>
            <w:r w:rsidRPr="002C78A4">
              <w:rPr>
                <w:rFonts w:cs="Calibri"/>
                <w:color w:val="222222"/>
                <w:sz w:val="24"/>
                <w:szCs w:val="24"/>
              </w:rPr>
              <w:t>b</w:t>
            </w:r>
            <w:r w:rsidRPr="002C78A4"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  <w:t>arriers to activity.</w:t>
            </w:r>
          </w:p>
          <w:p w14:paraId="55AC17B2" w14:textId="77777777" w:rsidR="007D725B" w:rsidRPr="002C78A4" w:rsidRDefault="007D725B" w:rsidP="007D725B">
            <w:pPr>
              <w:jc w:val="left"/>
              <w:rPr>
                <w:rFonts w:eastAsia="Times New Roman" w:cs="Calibri"/>
                <w:color w:val="222222"/>
                <w:sz w:val="24"/>
                <w:szCs w:val="24"/>
              </w:rPr>
            </w:pPr>
          </w:p>
          <w:p w14:paraId="4FCC6B4B" w14:textId="77777777" w:rsidR="007D725B" w:rsidRPr="002C78A4" w:rsidRDefault="007D725B" w:rsidP="007D725B">
            <w:pPr>
              <w:jc w:val="left"/>
              <w:rPr>
                <w:rFonts w:eastAsia="Times New Roman" w:cs="Calibri"/>
                <w:color w:val="222222"/>
                <w:sz w:val="24"/>
                <w:szCs w:val="24"/>
              </w:rPr>
            </w:pPr>
          </w:p>
          <w:p w14:paraId="5FEEC71E" w14:textId="77777777" w:rsidR="007D725B" w:rsidRPr="002C78A4" w:rsidRDefault="007D725B" w:rsidP="007D725B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335E8973" w14:textId="77777777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2C78A4">
              <w:rPr>
                <w:rFonts w:cs="Calibri"/>
                <w:b/>
                <w:bCs/>
                <w:sz w:val="24"/>
                <w:szCs w:val="24"/>
              </w:rPr>
              <w:t>Communication:</w:t>
            </w:r>
          </w:p>
          <w:p w14:paraId="4CCBCFAD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41EB03F4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sz w:val="24"/>
                <w:szCs w:val="24"/>
              </w:rPr>
              <w:t>Strong written and verbal skills, able to distil learning clearly for different audiences, including communities, partners, and funders.</w:t>
            </w:r>
          </w:p>
          <w:p w14:paraId="700374E4" w14:textId="77777777" w:rsidR="008D4B15" w:rsidRPr="002C78A4" w:rsidRDefault="008D4B15" w:rsidP="008D4B15">
            <w:pPr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  <w:p w14:paraId="4FA83315" w14:textId="1A6C5E7F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  <w:r w:rsidRPr="002C78A4">
              <w:rPr>
                <w:rFonts w:cs="Calibri"/>
                <w:b/>
                <w:bCs/>
                <w:sz w:val="24"/>
                <w:szCs w:val="24"/>
              </w:rPr>
              <w:t>Initiative and adaptability:</w:t>
            </w:r>
            <w:r w:rsidRPr="002C78A4"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2C78A4"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2C78A4">
              <w:rPr>
                <w:rFonts w:cs="Calibri"/>
                <w:sz w:val="24"/>
                <w:szCs w:val="24"/>
              </w:rPr>
              <w:t xml:space="preserve">A </w:t>
            </w:r>
            <w:r w:rsidR="007D725B" w:rsidRPr="002C78A4">
              <w:rPr>
                <w:rFonts w:cs="Calibri"/>
                <w:sz w:val="24"/>
                <w:szCs w:val="24"/>
              </w:rPr>
              <w:t>self-starter</w:t>
            </w:r>
            <w:r w:rsidRPr="002C78A4">
              <w:rPr>
                <w:rFonts w:cs="Calibri"/>
                <w:sz w:val="24"/>
                <w:szCs w:val="24"/>
              </w:rPr>
              <w:t xml:space="preserve"> who shows skills in agile and adaptive working proving they can respond quickly, work flexibly and navigate through fast-paced, changing, complex and uncertain environments.</w:t>
            </w:r>
          </w:p>
          <w:p w14:paraId="02BC87F8" w14:textId="77777777" w:rsidR="008D4B15" w:rsidRPr="002C78A4" w:rsidRDefault="008D4B15" w:rsidP="008D4B15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4C1CC0FC" w14:textId="77777777" w:rsidR="008D4B15" w:rsidRPr="00AD33F4" w:rsidRDefault="008D4B15" w:rsidP="008D4B15">
            <w:pPr>
              <w:spacing w:after="240"/>
              <w:jc w:val="left"/>
              <w:rPr>
                <w:rFonts w:ascii="Aptos" w:hAnsi="Aptos" w:cstheme="minorHAnsi"/>
                <w:color w:val="000000" w:themeColor="text1"/>
              </w:rPr>
            </w:pPr>
          </w:p>
        </w:tc>
      </w:tr>
    </w:tbl>
    <w:p w14:paraId="5B06F178" w14:textId="77777777" w:rsidR="003D6989" w:rsidRPr="00B24451" w:rsidRDefault="003D6989" w:rsidP="00561BD3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73165C2" w14:textId="43759217" w:rsidR="00C53DC2" w:rsidRPr="00C8147C" w:rsidRDefault="00C53DC2" w:rsidP="00561BD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53DC2" w:rsidRPr="00C8147C" w:rsidSect="00F953A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71F8" w14:textId="77777777" w:rsidR="003F6543" w:rsidRDefault="003F6543" w:rsidP="003F166D">
      <w:r>
        <w:separator/>
      </w:r>
    </w:p>
  </w:endnote>
  <w:endnote w:type="continuationSeparator" w:id="0">
    <w:p w14:paraId="318626EA" w14:textId="77777777" w:rsidR="003F6543" w:rsidRDefault="003F6543" w:rsidP="003F166D">
      <w:r>
        <w:continuationSeparator/>
      </w:r>
    </w:p>
  </w:endnote>
  <w:endnote w:type="continuationNotice" w:id="1">
    <w:p w14:paraId="5D79DC99" w14:textId="77777777" w:rsidR="003F6543" w:rsidRDefault="003F6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4962" w14:textId="77777777" w:rsidR="003F6543" w:rsidRDefault="003F6543" w:rsidP="003F166D">
      <w:r>
        <w:separator/>
      </w:r>
    </w:p>
  </w:footnote>
  <w:footnote w:type="continuationSeparator" w:id="0">
    <w:p w14:paraId="24ACF6FC" w14:textId="77777777" w:rsidR="003F6543" w:rsidRDefault="003F6543" w:rsidP="003F166D">
      <w:r>
        <w:continuationSeparator/>
      </w:r>
    </w:p>
  </w:footnote>
  <w:footnote w:type="continuationNotice" w:id="1">
    <w:p w14:paraId="05BF4795" w14:textId="77777777" w:rsidR="003F6543" w:rsidRDefault="003F6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A675" w14:textId="53090547" w:rsidR="00836E86" w:rsidRDefault="00836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A17745" wp14:editId="6E48B9AE">
          <wp:simplePos x="0" y="0"/>
          <wp:positionH relativeFrom="margin">
            <wp:posOffset>2038350</wp:posOffset>
          </wp:positionH>
          <wp:positionV relativeFrom="paragraph">
            <wp:posOffset>-230505</wp:posOffset>
          </wp:positionV>
          <wp:extent cx="1619250" cy="536161"/>
          <wp:effectExtent l="0" t="0" r="0" b="0"/>
          <wp:wrapNone/>
          <wp:docPr id="17040199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847" cy="54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AFB"/>
    <w:multiLevelType w:val="hybridMultilevel"/>
    <w:tmpl w:val="DAA6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5C1"/>
    <w:multiLevelType w:val="hybridMultilevel"/>
    <w:tmpl w:val="323EEA50"/>
    <w:lvl w:ilvl="0" w:tplc="31DAFE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4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AF33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5564"/>
    <w:multiLevelType w:val="multilevel"/>
    <w:tmpl w:val="437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055EC"/>
    <w:multiLevelType w:val="hybridMultilevel"/>
    <w:tmpl w:val="B738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26945"/>
    <w:multiLevelType w:val="hybridMultilevel"/>
    <w:tmpl w:val="90A8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86C"/>
    <w:multiLevelType w:val="hybridMultilevel"/>
    <w:tmpl w:val="2FFC2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B2103"/>
    <w:multiLevelType w:val="hybridMultilevel"/>
    <w:tmpl w:val="470A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650D"/>
    <w:multiLevelType w:val="hybridMultilevel"/>
    <w:tmpl w:val="EC0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B3A01"/>
    <w:multiLevelType w:val="hybridMultilevel"/>
    <w:tmpl w:val="CF8CB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7D83"/>
    <w:multiLevelType w:val="hybridMultilevel"/>
    <w:tmpl w:val="9A06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CB56E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476F42"/>
    <w:multiLevelType w:val="hybridMultilevel"/>
    <w:tmpl w:val="FAC4B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C00EB"/>
    <w:multiLevelType w:val="hybridMultilevel"/>
    <w:tmpl w:val="C7743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D6B1D"/>
    <w:multiLevelType w:val="hybridMultilevel"/>
    <w:tmpl w:val="E886E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26FE4"/>
    <w:multiLevelType w:val="multilevel"/>
    <w:tmpl w:val="7C2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C09A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66042">
    <w:abstractNumId w:val="7"/>
  </w:num>
  <w:num w:numId="2" w16cid:durableId="824080420">
    <w:abstractNumId w:val="12"/>
  </w:num>
  <w:num w:numId="3" w16cid:durableId="346715272">
    <w:abstractNumId w:val="18"/>
  </w:num>
  <w:num w:numId="4" w16cid:durableId="771248448">
    <w:abstractNumId w:val="3"/>
  </w:num>
  <w:num w:numId="5" w16cid:durableId="1095251416">
    <w:abstractNumId w:val="17"/>
  </w:num>
  <w:num w:numId="6" w16cid:durableId="167213765">
    <w:abstractNumId w:val="0"/>
  </w:num>
  <w:num w:numId="7" w16cid:durableId="783579326">
    <w:abstractNumId w:val="8"/>
  </w:num>
  <w:num w:numId="8" w16cid:durableId="1825899318">
    <w:abstractNumId w:val="2"/>
  </w:num>
  <w:num w:numId="9" w16cid:durableId="1953777722">
    <w:abstractNumId w:val="13"/>
  </w:num>
  <w:num w:numId="10" w16cid:durableId="595938855">
    <w:abstractNumId w:val="19"/>
  </w:num>
  <w:num w:numId="11" w16cid:durableId="922643087">
    <w:abstractNumId w:val="1"/>
  </w:num>
  <w:num w:numId="12" w16cid:durableId="1157300842">
    <w:abstractNumId w:val="9"/>
  </w:num>
  <w:num w:numId="13" w16cid:durableId="270480527">
    <w:abstractNumId w:val="15"/>
  </w:num>
  <w:num w:numId="14" w16cid:durableId="2106145568">
    <w:abstractNumId w:val="10"/>
  </w:num>
  <w:num w:numId="15" w16cid:durableId="349767372">
    <w:abstractNumId w:val="4"/>
  </w:num>
  <w:num w:numId="16" w16cid:durableId="1014573052">
    <w:abstractNumId w:val="6"/>
  </w:num>
  <w:num w:numId="17" w16cid:durableId="114644731">
    <w:abstractNumId w:val="5"/>
  </w:num>
  <w:num w:numId="18" w16cid:durableId="2084141239">
    <w:abstractNumId w:val="11"/>
  </w:num>
  <w:num w:numId="19" w16cid:durableId="951130562">
    <w:abstractNumId w:val="14"/>
  </w:num>
  <w:num w:numId="20" w16cid:durableId="10848405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17389"/>
    <w:rsid w:val="000337C3"/>
    <w:rsid w:val="00037475"/>
    <w:rsid w:val="00040949"/>
    <w:rsid w:val="000456B8"/>
    <w:rsid w:val="00051D0A"/>
    <w:rsid w:val="00056FE8"/>
    <w:rsid w:val="000621D0"/>
    <w:rsid w:val="00067550"/>
    <w:rsid w:val="00070466"/>
    <w:rsid w:val="00077536"/>
    <w:rsid w:val="000809E1"/>
    <w:rsid w:val="000B355A"/>
    <w:rsid w:val="000E1034"/>
    <w:rsid w:val="000E4F03"/>
    <w:rsid w:val="00100B0F"/>
    <w:rsid w:val="00100D8F"/>
    <w:rsid w:val="00101CDC"/>
    <w:rsid w:val="00125E42"/>
    <w:rsid w:val="001309FC"/>
    <w:rsid w:val="0013304A"/>
    <w:rsid w:val="00137142"/>
    <w:rsid w:val="00137538"/>
    <w:rsid w:val="00137C7C"/>
    <w:rsid w:val="0016093E"/>
    <w:rsid w:val="00160E77"/>
    <w:rsid w:val="0016234A"/>
    <w:rsid w:val="00166D2C"/>
    <w:rsid w:val="00173766"/>
    <w:rsid w:val="00176ABC"/>
    <w:rsid w:val="00176F52"/>
    <w:rsid w:val="00181B55"/>
    <w:rsid w:val="00183704"/>
    <w:rsid w:val="001A0950"/>
    <w:rsid w:val="001A57DA"/>
    <w:rsid w:val="001A66BB"/>
    <w:rsid w:val="001A6D09"/>
    <w:rsid w:val="001B192D"/>
    <w:rsid w:val="001B3999"/>
    <w:rsid w:val="001B5DE2"/>
    <w:rsid w:val="001B7756"/>
    <w:rsid w:val="001B7954"/>
    <w:rsid w:val="001C11E1"/>
    <w:rsid w:val="001C1326"/>
    <w:rsid w:val="001C526A"/>
    <w:rsid w:val="001C658C"/>
    <w:rsid w:val="001D3D18"/>
    <w:rsid w:val="001D3EA9"/>
    <w:rsid w:val="001D526F"/>
    <w:rsid w:val="001E4B0D"/>
    <w:rsid w:val="001E4F96"/>
    <w:rsid w:val="001F2411"/>
    <w:rsid w:val="001F4195"/>
    <w:rsid w:val="001F44C6"/>
    <w:rsid w:val="00200A7E"/>
    <w:rsid w:val="002069FF"/>
    <w:rsid w:val="00207E3C"/>
    <w:rsid w:val="002129A5"/>
    <w:rsid w:val="002146EF"/>
    <w:rsid w:val="00215AFD"/>
    <w:rsid w:val="00216A13"/>
    <w:rsid w:val="00234DF8"/>
    <w:rsid w:val="0023783F"/>
    <w:rsid w:val="002406CA"/>
    <w:rsid w:val="0024128C"/>
    <w:rsid w:val="0025266F"/>
    <w:rsid w:val="002660F8"/>
    <w:rsid w:val="00270AD2"/>
    <w:rsid w:val="00281233"/>
    <w:rsid w:val="00281DCA"/>
    <w:rsid w:val="0029716D"/>
    <w:rsid w:val="00297D38"/>
    <w:rsid w:val="002B0137"/>
    <w:rsid w:val="002B1CA5"/>
    <w:rsid w:val="002B4E8D"/>
    <w:rsid w:val="002B6596"/>
    <w:rsid w:val="002C03DA"/>
    <w:rsid w:val="002C2294"/>
    <w:rsid w:val="002C32CB"/>
    <w:rsid w:val="002C7494"/>
    <w:rsid w:val="002C78A4"/>
    <w:rsid w:val="002D2894"/>
    <w:rsid w:val="002D4146"/>
    <w:rsid w:val="002E0DAA"/>
    <w:rsid w:val="002E3958"/>
    <w:rsid w:val="002E4FE3"/>
    <w:rsid w:val="002F7E55"/>
    <w:rsid w:val="00300478"/>
    <w:rsid w:val="00305A13"/>
    <w:rsid w:val="00316173"/>
    <w:rsid w:val="003167E5"/>
    <w:rsid w:val="00323A02"/>
    <w:rsid w:val="00324F7B"/>
    <w:rsid w:val="00331483"/>
    <w:rsid w:val="00331B62"/>
    <w:rsid w:val="0033767C"/>
    <w:rsid w:val="0034128C"/>
    <w:rsid w:val="0035278F"/>
    <w:rsid w:val="00354300"/>
    <w:rsid w:val="0036207F"/>
    <w:rsid w:val="003627F5"/>
    <w:rsid w:val="0036281A"/>
    <w:rsid w:val="0037235D"/>
    <w:rsid w:val="003804D7"/>
    <w:rsid w:val="00382327"/>
    <w:rsid w:val="00385404"/>
    <w:rsid w:val="00394121"/>
    <w:rsid w:val="00397DC7"/>
    <w:rsid w:val="003A3510"/>
    <w:rsid w:val="003B1126"/>
    <w:rsid w:val="003B7A81"/>
    <w:rsid w:val="003C0807"/>
    <w:rsid w:val="003D1596"/>
    <w:rsid w:val="003D6989"/>
    <w:rsid w:val="003E2392"/>
    <w:rsid w:val="003F0243"/>
    <w:rsid w:val="003F166D"/>
    <w:rsid w:val="003F16E2"/>
    <w:rsid w:val="003F2CA9"/>
    <w:rsid w:val="003F4033"/>
    <w:rsid w:val="003F6543"/>
    <w:rsid w:val="004109FD"/>
    <w:rsid w:val="004157F0"/>
    <w:rsid w:val="004170AC"/>
    <w:rsid w:val="004221F3"/>
    <w:rsid w:val="0042344E"/>
    <w:rsid w:val="00423EAE"/>
    <w:rsid w:val="004371E0"/>
    <w:rsid w:val="004400F1"/>
    <w:rsid w:val="00442472"/>
    <w:rsid w:val="00445628"/>
    <w:rsid w:val="00457E0C"/>
    <w:rsid w:val="00474ACE"/>
    <w:rsid w:val="00484BBB"/>
    <w:rsid w:val="00485545"/>
    <w:rsid w:val="004A04E1"/>
    <w:rsid w:val="004A5D38"/>
    <w:rsid w:val="004C0FEA"/>
    <w:rsid w:val="004C3368"/>
    <w:rsid w:val="004C3783"/>
    <w:rsid w:val="004C4AEE"/>
    <w:rsid w:val="004D3B7D"/>
    <w:rsid w:val="004D3CF1"/>
    <w:rsid w:val="004D50A7"/>
    <w:rsid w:val="004E3CDC"/>
    <w:rsid w:val="004E441E"/>
    <w:rsid w:val="004F5E53"/>
    <w:rsid w:val="005032B6"/>
    <w:rsid w:val="005114C7"/>
    <w:rsid w:val="00512263"/>
    <w:rsid w:val="005208CB"/>
    <w:rsid w:val="005350D4"/>
    <w:rsid w:val="00536D07"/>
    <w:rsid w:val="00542939"/>
    <w:rsid w:val="005476E5"/>
    <w:rsid w:val="00561725"/>
    <w:rsid w:val="00561BD3"/>
    <w:rsid w:val="005629C6"/>
    <w:rsid w:val="00562DB9"/>
    <w:rsid w:val="00563711"/>
    <w:rsid w:val="00572828"/>
    <w:rsid w:val="005744B3"/>
    <w:rsid w:val="005779BC"/>
    <w:rsid w:val="005A22FF"/>
    <w:rsid w:val="005A4116"/>
    <w:rsid w:val="005C0F92"/>
    <w:rsid w:val="005D01CA"/>
    <w:rsid w:val="005D2311"/>
    <w:rsid w:val="00617CC8"/>
    <w:rsid w:val="00624732"/>
    <w:rsid w:val="00624E94"/>
    <w:rsid w:val="006254C9"/>
    <w:rsid w:val="00625E60"/>
    <w:rsid w:val="006267C3"/>
    <w:rsid w:val="006357D1"/>
    <w:rsid w:val="00636033"/>
    <w:rsid w:val="00643C5E"/>
    <w:rsid w:val="00645092"/>
    <w:rsid w:val="00647AD4"/>
    <w:rsid w:val="0065797C"/>
    <w:rsid w:val="006631A9"/>
    <w:rsid w:val="00663AB0"/>
    <w:rsid w:val="00676C52"/>
    <w:rsid w:val="0069320D"/>
    <w:rsid w:val="00697E87"/>
    <w:rsid w:val="006A13A3"/>
    <w:rsid w:val="006C215A"/>
    <w:rsid w:val="006E2EF3"/>
    <w:rsid w:val="006E56D8"/>
    <w:rsid w:val="006E6337"/>
    <w:rsid w:val="006F5F69"/>
    <w:rsid w:val="00714699"/>
    <w:rsid w:val="007229B4"/>
    <w:rsid w:val="00727C23"/>
    <w:rsid w:val="00730EFF"/>
    <w:rsid w:val="00747166"/>
    <w:rsid w:val="00751D81"/>
    <w:rsid w:val="00763947"/>
    <w:rsid w:val="0077165D"/>
    <w:rsid w:val="00774376"/>
    <w:rsid w:val="007834EA"/>
    <w:rsid w:val="00785073"/>
    <w:rsid w:val="007870F7"/>
    <w:rsid w:val="00793F8E"/>
    <w:rsid w:val="00796CAF"/>
    <w:rsid w:val="007A681A"/>
    <w:rsid w:val="007B023D"/>
    <w:rsid w:val="007B344A"/>
    <w:rsid w:val="007C11C1"/>
    <w:rsid w:val="007D6D9C"/>
    <w:rsid w:val="007D725B"/>
    <w:rsid w:val="007F1458"/>
    <w:rsid w:val="007F3154"/>
    <w:rsid w:val="007F3868"/>
    <w:rsid w:val="0080476F"/>
    <w:rsid w:val="00815FC5"/>
    <w:rsid w:val="00825000"/>
    <w:rsid w:val="008339C8"/>
    <w:rsid w:val="00835A77"/>
    <w:rsid w:val="00836E86"/>
    <w:rsid w:val="00844B29"/>
    <w:rsid w:val="00845AB9"/>
    <w:rsid w:val="00851E4E"/>
    <w:rsid w:val="008549E0"/>
    <w:rsid w:val="0087615C"/>
    <w:rsid w:val="00890D18"/>
    <w:rsid w:val="00894B6C"/>
    <w:rsid w:val="008978CD"/>
    <w:rsid w:val="008A02E1"/>
    <w:rsid w:val="008A453D"/>
    <w:rsid w:val="008B4AF2"/>
    <w:rsid w:val="008B6F2A"/>
    <w:rsid w:val="008D21D6"/>
    <w:rsid w:val="008D4B15"/>
    <w:rsid w:val="008D5ADF"/>
    <w:rsid w:val="008E026F"/>
    <w:rsid w:val="008E1DA1"/>
    <w:rsid w:val="008E6531"/>
    <w:rsid w:val="009004DA"/>
    <w:rsid w:val="00901C1E"/>
    <w:rsid w:val="00902B4F"/>
    <w:rsid w:val="00904F65"/>
    <w:rsid w:val="009054D0"/>
    <w:rsid w:val="0090653A"/>
    <w:rsid w:val="009145E0"/>
    <w:rsid w:val="00933B3D"/>
    <w:rsid w:val="00951FE5"/>
    <w:rsid w:val="009543D0"/>
    <w:rsid w:val="0097021F"/>
    <w:rsid w:val="0097354F"/>
    <w:rsid w:val="00974C5F"/>
    <w:rsid w:val="00975258"/>
    <w:rsid w:val="00975533"/>
    <w:rsid w:val="00985FEF"/>
    <w:rsid w:val="00996EBF"/>
    <w:rsid w:val="009A7F61"/>
    <w:rsid w:val="009B0D5A"/>
    <w:rsid w:val="009B6476"/>
    <w:rsid w:val="009C21F5"/>
    <w:rsid w:val="009D59BB"/>
    <w:rsid w:val="009E1E57"/>
    <w:rsid w:val="009E67E7"/>
    <w:rsid w:val="009F202A"/>
    <w:rsid w:val="009F5EF0"/>
    <w:rsid w:val="00A147AF"/>
    <w:rsid w:val="00A20B7E"/>
    <w:rsid w:val="00A21581"/>
    <w:rsid w:val="00A325F5"/>
    <w:rsid w:val="00A42980"/>
    <w:rsid w:val="00A5159B"/>
    <w:rsid w:val="00A57867"/>
    <w:rsid w:val="00A60F18"/>
    <w:rsid w:val="00A62286"/>
    <w:rsid w:val="00A62499"/>
    <w:rsid w:val="00A80FC1"/>
    <w:rsid w:val="00A828BA"/>
    <w:rsid w:val="00A96B65"/>
    <w:rsid w:val="00A96EAD"/>
    <w:rsid w:val="00AA414E"/>
    <w:rsid w:val="00AA42CA"/>
    <w:rsid w:val="00AA7A04"/>
    <w:rsid w:val="00AB405B"/>
    <w:rsid w:val="00AC26C1"/>
    <w:rsid w:val="00AC4175"/>
    <w:rsid w:val="00AD33F4"/>
    <w:rsid w:val="00AF3F17"/>
    <w:rsid w:val="00B03897"/>
    <w:rsid w:val="00B13194"/>
    <w:rsid w:val="00B24451"/>
    <w:rsid w:val="00B30884"/>
    <w:rsid w:val="00B3723A"/>
    <w:rsid w:val="00B378B8"/>
    <w:rsid w:val="00B44D2E"/>
    <w:rsid w:val="00B46895"/>
    <w:rsid w:val="00B61380"/>
    <w:rsid w:val="00B673E2"/>
    <w:rsid w:val="00B80FB5"/>
    <w:rsid w:val="00B8604A"/>
    <w:rsid w:val="00B874AC"/>
    <w:rsid w:val="00B87D07"/>
    <w:rsid w:val="00B93C20"/>
    <w:rsid w:val="00BA7963"/>
    <w:rsid w:val="00BD08CE"/>
    <w:rsid w:val="00BD49A5"/>
    <w:rsid w:val="00BD6836"/>
    <w:rsid w:val="00BD797F"/>
    <w:rsid w:val="00BE4E4E"/>
    <w:rsid w:val="00BF16F0"/>
    <w:rsid w:val="00BF30F5"/>
    <w:rsid w:val="00BF3E13"/>
    <w:rsid w:val="00BF4DC5"/>
    <w:rsid w:val="00BF5B79"/>
    <w:rsid w:val="00C00AD2"/>
    <w:rsid w:val="00C04C3A"/>
    <w:rsid w:val="00C15365"/>
    <w:rsid w:val="00C20A53"/>
    <w:rsid w:val="00C23B9C"/>
    <w:rsid w:val="00C44447"/>
    <w:rsid w:val="00C476DE"/>
    <w:rsid w:val="00C525F5"/>
    <w:rsid w:val="00C53DC2"/>
    <w:rsid w:val="00C6686B"/>
    <w:rsid w:val="00C678EC"/>
    <w:rsid w:val="00C80ADF"/>
    <w:rsid w:val="00C80E86"/>
    <w:rsid w:val="00C8147C"/>
    <w:rsid w:val="00C90233"/>
    <w:rsid w:val="00C90EE3"/>
    <w:rsid w:val="00C93B77"/>
    <w:rsid w:val="00CA4462"/>
    <w:rsid w:val="00CB31EF"/>
    <w:rsid w:val="00CB4C8C"/>
    <w:rsid w:val="00CC6D86"/>
    <w:rsid w:val="00CC74A6"/>
    <w:rsid w:val="00CC79A1"/>
    <w:rsid w:val="00CC7F3D"/>
    <w:rsid w:val="00CD5B95"/>
    <w:rsid w:val="00CD6961"/>
    <w:rsid w:val="00CE271F"/>
    <w:rsid w:val="00CE5206"/>
    <w:rsid w:val="00CE72E7"/>
    <w:rsid w:val="00CF160B"/>
    <w:rsid w:val="00CF5CFA"/>
    <w:rsid w:val="00D0306B"/>
    <w:rsid w:val="00D060BF"/>
    <w:rsid w:val="00D16981"/>
    <w:rsid w:val="00D2491E"/>
    <w:rsid w:val="00D30A71"/>
    <w:rsid w:val="00D33C38"/>
    <w:rsid w:val="00D36BB2"/>
    <w:rsid w:val="00D40394"/>
    <w:rsid w:val="00D41E17"/>
    <w:rsid w:val="00D43ABB"/>
    <w:rsid w:val="00D44A1A"/>
    <w:rsid w:val="00D46333"/>
    <w:rsid w:val="00D527CE"/>
    <w:rsid w:val="00D547E1"/>
    <w:rsid w:val="00D559A0"/>
    <w:rsid w:val="00D733B3"/>
    <w:rsid w:val="00D85207"/>
    <w:rsid w:val="00D96DDA"/>
    <w:rsid w:val="00D975BC"/>
    <w:rsid w:val="00DA61D9"/>
    <w:rsid w:val="00DA69E6"/>
    <w:rsid w:val="00DB0225"/>
    <w:rsid w:val="00DB06B2"/>
    <w:rsid w:val="00DB16E7"/>
    <w:rsid w:val="00DB62FE"/>
    <w:rsid w:val="00DB7E20"/>
    <w:rsid w:val="00DC36F8"/>
    <w:rsid w:val="00DD16C7"/>
    <w:rsid w:val="00DD4481"/>
    <w:rsid w:val="00DE2F56"/>
    <w:rsid w:val="00DE5128"/>
    <w:rsid w:val="00DE6805"/>
    <w:rsid w:val="00DF70B7"/>
    <w:rsid w:val="00E057CF"/>
    <w:rsid w:val="00E162DE"/>
    <w:rsid w:val="00E20DBA"/>
    <w:rsid w:val="00E21AE9"/>
    <w:rsid w:val="00E25BA5"/>
    <w:rsid w:val="00E37D78"/>
    <w:rsid w:val="00E436D9"/>
    <w:rsid w:val="00E455EC"/>
    <w:rsid w:val="00E55C7B"/>
    <w:rsid w:val="00E57C02"/>
    <w:rsid w:val="00E604B1"/>
    <w:rsid w:val="00E64B3B"/>
    <w:rsid w:val="00E735D2"/>
    <w:rsid w:val="00E82499"/>
    <w:rsid w:val="00E85A28"/>
    <w:rsid w:val="00E91A26"/>
    <w:rsid w:val="00EA2293"/>
    <w:rsid w:val="00EB19F6"/>
    <w:rsid w:val="00EB226C"/>
    <w:rsid w:val="00EC47FB"/>
    <w:rsid w:val="00EC571B"/>
    <w:rsid w:val="00EC78E9"/>
    <w:rsid w:val="00ED0993"/>
    <w:rsid w:val="00ED6588"/>
    <w:rsid w:val="00ED6801"/>
    <w:rsid w:val="00ED6DEF"/>
    <w:rsid w:val="00EE0325"/>
    <w:rsid w:val="00EE51E3"/>
    <w:rsid w:val="00EF5B67"/>
    <w:rsid w:val="00F005F0"/>
    <w:rsid w:val="00F04FA0"/>
    <w:rsid w:val="00F05BA9"/>
    <w:rsid w:val="00F07497"/>
    <w:rsid w:val="00F11443"/>
    <w:rsid w:val="00F1186C"/>
    <w:rsid w:val="00F178B0"/>
    <w:rsid w:val="00F25AFA"/>
    <w:rsid w:val="00F36086"/>
    <w:rsid w:val="00F403F2"/>
    <w:rsid w:val="00F60416"/>
    <w:rsid w:val="00F658C5"/>
    <w:rsid w:val="00F70C27"/>
    <w:rsid w:val="00F74299"/>
    <w:rsid w:val="00F80BEC"/>
    <w:rsid w:val="00F83254"/>
    <w:rsid w:val="00F90231"/>
    <w:rsid w:val="00F953A7"/>
    <w:rsid w:val="00FA798B"/>
    <w:rsid w:val="00FB299E"/>
    <w:rsid w:val="00FC047B"/>
    <w:rsid w:val="00FC6C02"/>
    <w:rsid w:val="00FC719E"/>
    <w:rsid w:val="00FD5126"/>
    <w:rsid w:val="00FD7250"/>
    <w:rsid w:val="00FE2038"/>
    <w:rsid w:val="00FE298A"/>
    <w:rsid w:val="00FE5EDE"/>
    <w:rsid w:val="00FF420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434F9"/>
  <w15:docId w15:val="{5CACCD4E-38AA-4A6C-8FD1-A11D98BA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2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3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92"/>
    <w:rPr>
      <w:b/>
      <w:bCs/>
      <w:lang w:eastAsia="en-US"/>
    </w:rPr>
  </w:style>
  <w:style w:type="paragraph" w:styleId="NoSpacing">
    <w:name w:val="No Spacing"/>
    <w:uiPriority w:val="1"/>
    <w:qFormat/>
    <w:rsid w:val="00D527CE"/>
    <w:pPr>
      <w:jc w:val="both"/>
    </w:pPr>
    <w:rPr>
      <w:rFonts w:ascii="Trebuchet MS" w:eastAsia="SimSun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6d336-44d6-4f57-9c4f-a4642d67e83e">
      <Terms xmlns="http://schemas.microsoft.com/office/infopath/2007/PartnerControls"/>
    </lcf76f155ced4ddcb4097134ff3c332f>
    <TaxCatchAll xmlns="f9f0a561-4fc4-45fc-ba48-2772f55dbb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7C3539394C4CB6E67C7CBDDC4BF6" ma:contentTypeVersion="16" ma:contentTypeDescription="Create a new document." ma:contentTypeScope="" ma:versionID="7409198307062584f98a0128ac07ea99">
  <xsd:schema xmlns:xsd="http://www.w3.org/2001/XMLSchema" xmlns:xs="http://www.w3.org/2001/XMLSchema" xmlns:p="http://schemas.microsoft.com/office/2006/metadata/properties" xmlns:ns2="3aa6d336-44d6-4f57-9c4f-a4642d67e83e" xmlns:ns3="f9f0a561-4fc4-45fc-ba48-2772f55dbbb0" targetNamespace="http://schemas.microsoft.com/office/2006/metadata/properties" ma:root="true" ma:fieldsID="a7d5d17a1f1d07fb494052a1149bde79" ns2:_="" ns3:_="">
    <xsd:import namespace="3aa6d336-44d6-4f57-9c4f-a4642d67e83e"/>
    <xsd:import namespace="f9f0a561-4fc4-45fc-ba48-2772f55db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6d336-44d6-4f57-9c4f-a4642d67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8f7f10-2b51-4c5e-9313-04358c476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0a561-4fc4-45fc-ba48-2772f55dbb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7fee3a-cbef-456f-9f34-693516aa1b36}" ma:internalName="TaxCatchAll" ma:showField="CatchAllData" ma:web="f9f0a561-4fc4-45fc-ba48-2772f55db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1221E-333D-437D-BE7D-7F896AF22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9CEB6-F3F9-4CD5-92EE-F02D49697C53}">
  <ds:schemaRefs>
    <ds:schemaRef ds:uri="http://schemas.microsoft.com/office/2006/metadata/properties"/>
    <ds:schemaRef ds:uri="http://schemas.microsoft.com/office/infopath/2007/PartnerControls"/>
    <ds:schemaRef ds:uri="3aa6d336-44d6-4f57-9c4f-a4642d67e83e"/>
    <ds:schemaRef ds:uri="f9f0a561-4fc4-45fc-ba48-2772f55dbbb0"/>
  </ds:schemaRefs>
</ds:datastoreItem>
</file>

<file path=customXml/itemProps3.xml><?xml version="1.0" encoding="utf-8"?>
<ds:datastoreItem xmlns:ds="http://schemas.openxmlformats.org/officeDocument/2006/customXml" ds:itemID="{794500F2-3BF8-44FD-9C7F-11BBDECE5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6d336-44d6-4f57-9c4f-a4642d67e83e"/>
    <ds:schemaRef ds:uri="f9f0a561-4fc4-45fc-ba48-2772f55db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929</Words>
  <Characters>5297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darren@khrconsulting.co.uk</dc:creator>
  <cp:keywords/>
  <cp:lastModifiedBy>Ammarah Gordon</cp:lastModifiedBy>
  <cp:revision>101</cp:revision>
  <cp:lastPrinted>2024-01-26T22:00:00Z</cp:lastPrinted>
  <dcterms:created xsi:type="dcterms:W3CDTF">2024-07-03T15:53:00Z</dcterms:created>
  <dcterms:modified xsi:type="dcterms:W3CDTF">2025-08-08T15:23:00Z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0x010100E5E27C3539394C4CB6E67C7CBDDC4BF6</vt:lpwstr>
  </property>
</Properties>
</file>